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 Hutchins and Boyd 2016)</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 (Lane 1991).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Both PC-rich and PE-rich strains of</w:t>
      </w:r>
      <w:r>
        <w:t xml:space="preserve"> </w:t>
      </w:r>
      <w:r>
        <w:rPr>
          <w:iCs/>
          <w:i/>
        </w:rPr>
        <w:t xml:space="preserve">Synechococcus</w:t>
      </w:r>
      <w:r>
        <w:t xml:space="preserve"> </w:t>
      </w:r>
      <w:r>
        <w:t xml:space="preserve">sp. exhibited the fastest growth rates under continuous light (24 h photoperiod).</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was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van Alphen et al. (2018)</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 The analyzed here, Baltic</w:t>
      </w:r>
      <w:r>
        <w:t xml:space="preserve"> </w:t>
      </w:r>
      <w:r>
        <w:rPr>
          <w:iCs/>
          <w:i/>
        </w:rPr>
        <w:t xml:space="preserve">Synechococcus</w:t>
      </w:r>
      <w:r>
        <w:t xml:space="preserve"> </w:t>
      </w:r>
      <w:r>
        <w:t xml:space="preserve">sp. strains, were not genetically modified, and what is even more important, the preferred 24 h photoperiod and a relatively low-light conditions with the peak PAR of 180 µmol photons m</w:t>
      </w:r>
      <w:r>
        <w:rPr>
          <w:vertAlign w:val="superscript"/>
        </w:rPr>
        <w:t xml:space="preserve">−2</w:t>
      </w:r>
      <w:r>
        <w:t xml:space="preserve">s</w:t>
      </w:r>
      <w:r>
        <w:rPr>
          <w:vertAlign w:val="superscript"/>
        </w:rPr>
        <w:t xml:space="preserve">−1</w:t>
      </w:r>
      <w:r>
        <w:t xml:space="preserve"> </w:t>
      </w:r>
      <w:r>
        <w:t xml:space="preserve">suggest they could, potentially, thrive in polar waters, finding warming polar waters due to climate change beneficial for their own growth.</w:t>
      </w:r>
      <w:r>
        <w:t xml:space="preserve"> </w:t>
      </w: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which may indicate that the PE-rich strains are better adapted to lower light and occupying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Short pulses of intense light may be more challenging to harvest the necessary energy since dark-adapted cyanobacteria need to acclimate to stronger light, and the level over 600 µmol photons m</w:t>
      </w:r>
      <w:r>
        <w:rPr>
          <w:vertAlign w:val="superscript"/>
        </w:rPr>
        <w:t xml:space="preserve">−2</w:t>
      </w:r>
      <w:r>
        <w:t xml:space="preserve">s</w:t>
      </w:r>
      <w:r>
        <w:rPr>
          <w:vertAlign w:val="superscript"/>
        </w:rPr>
        <w:t xml:space="preserve">−1</w:t>
      </w:r>
      <w:r>
        <w:t xml:space="preserve"> </w:t>
      </w:r>
      <w:r>
        <w:t xml:space="preserve">appears to be close to the saturation point, likely causing stress response in the cells. Thus,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under shorter photoperiods (Fig.</w:t>
      </w:r>
      <w:r>
        <w:t xml:space="preserve"> </w:t>
      </w:r>
      <w:r>
        <w:t xml:space="preserve">10</w:t>
      </w:r>
      <w:r>
        <w:t xml:space="preserve">). Based on this research, in the future, it will be necessary to test how different colors of light in combination with temperature and oxygen availability affect the physiology of picocyanobacteria in order to predict their occurrence throughout the water column under the influence of expected climate changes.</w:t>
      </w:r>
    </w:p>
    <w:p>
      <w:pPr>
        <w:pStyle w:val="CaptionedFigure"/>
      </w:pPr>
      <w:r>
        <w:drawing>
          <wp:inline>
            <wp:extent cx="5943600" cy="5943600"/>
            <wp:effectExtent b="0" l="0" r="0" t="0"/>
            <wp:docPr descr="Fig. 10: MapCombo."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MapCombo.</w:t>
      </w: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reflects better the relationship between the light absorption and primary productivity intensity since it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strains show consistent patterns of PUR/PAR ratio versus cumulative diel photon doses, across different combinations of photoperiod and peak PAR, which means that while having no nutrient limitation, cyanobacteria can balance pigments composition to match the light conditions and ensure optimum light harvesting for the most effective photosynthesis (Fig.</w:t>
      </w:r>
      <w:r>
        <w:t xml:space="preserve"> </w:t>
      </w:r>
      <w:r>
        <w:t xml:space="preserve">7</w:t>
      </w:r>
      <w:r>
        <w:t xml:space="preserve">).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We find that PC-rich and PE-rich strains of</w:t>
      </w:r>
      <w:r>
        <w:t xml:space="preserve"> </w:t>
      </w:r>
      <w:r>
        <w:rPr>
          <w:iCs/>
          <w:i/>
        </w:rPr>
        <w:t xml:space="preserve">Synechococcus</w:t>
      </w:r>
      <w:r>
        <w:t xml:space="preserve"> </w:t>
      </w:r>
      <w:r>
        <w:t xml:space="preserve">show consistent patterns of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 an exponential decay to a plateau, with increasing cumulative diel PAR doses, with no statistically detectable influence of photoperiod nor of peak PAR in our determinations (Fig.</w:t>
      </w:r>
      <w:r>
        <w:t xml:space="preserve"> </w:t>
      </w:r>
      <w:r>
        <w:t xml:space="preserve">8</w:t>
      </w:r>
      <w:r>
        <w:t xml:space="preserve">A). We also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Growth phases are also important factors in the yield of photosynthetic reactions</w:t>
      </w:r>
      <w:r>
        <w:t xml:space="preserve"> </w:t>
      </w:r>
      <w:r>
        <w:t xml:space="preserve">(Jacob-Lopes et al. 2009; Schuurmans et al. 2017)</w:t>
      </w:r>
      <w:r>
        <w:t xml:space="preserve">. We find that the exponential decay model parameters for tested picocyanobacteria differ significantly between exponential and pre-stationary phase of growth. During the pre-stationary phase of growth, PUR/PAR for both PC-rich and PE-rich strains remains nearly constant even when cumulative diel photon dose increases. During this phase of growth, response of σ</w:t>
      </w:r>
      <w:r>
        <w:rPr>
          <w:vertAlign w:val="subscript"/>
        </w:rPr>
        <w:t xml:space="preserve">PSII</w:t>
      </w:r>
      <w:r>
        <w:t xml:space="preserve">ʹ to cumulative photon dose for tested strains also dampens but persists.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p>
      <w:pPr>
        <w:pStyle w:val="BodyText"/>
      </w:pPr>
      <w:r>
        <w:t xml:space="preserve">The phylogeny based on the 16S rRNA gene (amplicon average 1385 bp) placed the BBCA strains within the cluster 5 picocyanobacterial lineage, in sub-cluster 5.2 together with freshwater, brackish and halotolerant strains, and separated from marine strains assigned to sub-clusters 5.1 and 5.3 (Fig. 1S in Supporting Information). Based on this genetic marker, the strains were assigned to order Synechococcales and family Synechoccaceae. Sequences had high identity (∼100%) with those from strains taxonomically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the light capture and light absorption ability differ significantly among tested strains. The PE-rich strains show a much higher PUR/PAR ratio under low cumulative diel photon dose during their exponential phase of growth, but decay towards a plateau and reach a similar value to PC-rich strains as the cumulative diel photon dose increases. This means that PE-rich strains in the exponential phase of growth demonstrated high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which overlap with the deep-penetrating light wavelengths.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Importantly, it seems that the available photic regimes (combination of photoperiod and light intensity) may determine the occurrence of PC-rich and PE-rich picocyanobacterial phenotypes. Nitrogen (N) is an essential element for cyanobacteria to produce photosynthetic pigments; however, the metabolic cost of their production differs.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Our results confirm significant differences in light capture between PC-rich and PE-rich picocyanobacteria. The possibility of occurrence of both phenotypes of picocyanobacteria in almost all Earth’s climate zones confirm that PE-rich strains are stronger light-harvesting competitors, consistent with their typical deeper distribution in the water column, while the PC-rich strains may have lower N-quotients for their light capture system.</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 making it essential that measurements are made as quickly and accurately as possible</w:t>
      </w:r>
      <w:r>
        <w:t xml:space="preserve"> </w:t>
      </w:r>
      <w:r>
        <w:t xml:space="preserve">(Connor 2018)</w:t>
      </w:r>
      <w:r>
        <w:t xml:space="preserve">. This was achieved for PC-rich and PE-rich picocyanobacteria using a Fast Repetition Rate fluorometer (FRRf; Fig.</w:t>
      </w:r>
      <w:r>
        <w:t xml:space="preserve"> </w:t>
      </w:r>
      <w:r>
        <w:t xml:space="preserve">3</w:t>
      </w:r>
      <w:r>
        <w:t xml:space="preserve">). The FRRF technique proposed by</w:t>
      </w:r>
      <w:r>
        <w:t xml:space="preserve"> </w:t>
      </w:r>
      <w:r>
        <w:t xml:space="preserve">Kolber et al. (1998)</w:t>
      </w:r>
      <w:r>
        <w:t xml:space="preserve"> </w:t>
      </w:r>
      <w:r>
        <w:t xml:space="preserve">measures fluorescence changes induced by a series of ST sub-saturating flashlets (~1 μs). Although the intensity of single flashlet is not saturating, the overall photon flux is more than saturating by virtue of the high frequency. The intensity, duration, and interval between them can be controlled independently, and consequently derivation of independent contributions of different processes to the fluorescence yield change</w:t>
      </w:r>
      <w:r>
        <w:t xml:space="preserve"> </w:t>
      </w:r>
      <w:r>
        <w:t xml:space="preserve">(Lei 2018)</w:t>
      </w:r>
      <w:r>
        <w:t xml:space="preserve">.</w:t>
      </w:r>
    </w:p>
    <w:p>
      <w:pPr>
        <w:pStyle w:val="BodyText"/>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In one previous work it was shown that this new absorption algorithm using calculated aLHII (light harvesting complex II (LHII) absorption coefficient) to derive PSII electron transport rate per unit volume (</w:t>
      </w:r>
      <w:r>
        <w:rPr>
          <w:iCs/>
          <w:i/>
        </w:rPr>
        <w:t xml:space="preserve">JV</w:t>
      </w:r>
      <w:r>
        <w:rPr>
          <w:vertAlign w:val="subscript"/>
        </w:rPr>
        <w:t xml:space="preserve">PSII</w:t>
      </w:r>
      <w:r>
        <w:t xml:space="preserve">) is not usable in unbalanced condition for green algae</w:t>
      </w:r>
      <w:r>
        <w:t xml:space="preserve"> </w:t>
      </w:r>
      <w:r>
        <w:rPr>
          <w:iCs/>
          <w:i/>
        </w:rPr>
        <w:t xml:space="preserve">Dunaliella tertiolecta</w:t>
      </w:r>
      <w:r>
        <w:t xml:space="preserve"> </w:t>
      </w:r>
      <w:r>
        <w:t xml:space="preserve">(Lei 2018)</w:t>
      </w:r>
      <w:r>
        <w:t xml:space="preserve">. In our work however, we used different equations based on σ</w:t>
      </w:r>
      <w:r>
        <w:rPr>
          <w:vertAlign w:val="subscript"/>
        </w:rPr>
        <w:t xml:space="preserve">PSII</w:t>
      </w:r>
      <w:r>
        <w:t xml:space="preserve">ʹ, σ</w:t>
      </w:r>
      <w:r>
        <w:rPr>
          <w:vertAlign w:val="subscript"/>
        </w:rPr>
        <w:t xml:space="preserve">PSII</w:t>
      </w:r>
      <w:r>
        <w:t xml:space="preserve">,</w:t>
      </w:r>
      <w:r>
        <w:t xml:space="preserve"> </w:t>
      </w:r>
      <w:r>
        <w:rPr>
          <w:iCs/>
          <w:i/>
        </w:rPr>
        <w:t xml:space="preserve">F</w:t>
      </w:r>
      <w:r>
        <w:rPr>
          <w:vertAlign w:val="subscript"/>
        </w:rPr>
        <w:t xml:space="preserve">0</w:t>
      </w:r>
      <w:r>
        <w:t xml:space="preserve">, applied PAR (I; µmol photons m</w:t>
      </w:r>
      <w:r>
        <w:rPr>
          <w:vertAlign w:val="superscript"/>
        </w:rPr>
        <w:t xml:space="preserve">−2</w:t>
      </w:r>
      <w:r>
        <w:t xml:space="preserve">s</w:t>
      </w:r>
      <w:r>
        <w:rPr>
          <w:vertAlign w:val="superscript"/>
        </w:rPr>
        <w:t xml:space="preserve">−1</w:t>
      </w:r>
      <w:r>
        <w:t xml:space="preserve">); and qp using</w:t>
      </w:r>
      <w:r>
        <w:t xml:space="preserve"> </w:t>
      </w:r>
      <w:r>
        <w:t xml:space="preserve">(Oxborough and Baker 1997)</w:t>
      </w:r>
      <w:r>
        <w:t xml:space="preserve"> </w:t>
      </w:r>
      <w:r>
        <w:t xml:space="preserve">calculations (without measuring</w:t>
      </w:r>
      <w:r>
        <w:t xml:space="preserve"> </w:t>
      </w:r>
      <w:r>
        <w:rPr>
          <w:iCs/>
          <w:i/>
        </w:rPr>
        <w:t xml:space="preserve">F</w:t>
      </w:r>
      <w:r>
        <w:rPr>
          <w:vertAlign w:val="subscript"/>
        </w:rPr>
        <w:t xml:space="preserve">0</w:t>
      </w:r>
      <w:r>
        <w:t xml:space="preserve">ʹ) for calibration (</w:t>
      </w:r>
      <w:r>
        <w:rPr>
          <w:iCs/>
          <w:i/>
        </w:rPr>
        <w:t xml:space="preserve">JV</w:t>
      </w:r>
      <w:r>
        <w:rPr>
          <w:vertAlign w:val="subscript"/>
        </w:rPr>
        <w:t xml:space="preserve">PSII</w:t>
      </w:r>
      <w:r>
        <w:t xml:space="preserve">). Here, using this</w:t>
      </w:r>
      <w:r>
        <w:t xml:space="preserve"> </w:t>
      </w:r>
      <w:r>
        <w:rPr>
          <w:iCs/>
          <w:i/>
        </w:rPr>
        <w:t xml:space="preserve">JV</w:t>
      </w:r>
      <w:r>
        <w:rPr>
          <w:vertAlign w:val="subscript"/>
        </w:rPr>
        <w:t xml:space="preserve">PSII</w:t>
      </w:r>
      <w:r>
        <w:t xml:space="preserve"> </w:t>
      </w:r>
      <w:r>
        <w:t xml:space="preserve">estimator we determined that growth yields of PC-rich and PE-rich picocyanobacteria are well predicted by cumulative diel PSII electron fluxes, across different photic regimes.</w:t>
      </w:r>
    </w:p>
    <w:p>
      <w:pPr>
        <w:pStyle w:val="BodyText"/>
      </w:pPr>
      <w:r>
        <w:t xml:space="preserve">We also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predict the expansion of the range of picocyanobacteria to new photic regimes and indicate that PE-rich</w:t>
      </w:r>
      <w:r>
        <w:t xml:space="preserve"> </w:t>
      </w:r>
      <w:r>
        <w:rPr>
          <w:iCs/>
          <w:i/>
        </w:rPr>
        <w:t xml:space="preserve">Synechococcus</w:t>
      </w:r>
      <w:r>
        <w:t xml:space="preserve"> </w:t>
      </w:r>
      <w:r>
        <w:t xml:space="preserve">sp. may turn out to be the dominant component of phytoplankton in the near future.</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44" w:name="references"/>
    <w:p>
      <w:pPr>
        <w:pStyle w:val="Heading1"/>
      </w:pPr>
      <w:r>
        <w:t xml:space="preserve">References</w:t>
      </w:r>
    </w:p>
    <w:bookmarkStart w:id="243"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100">
        <w:r>
          <w:rPr>
            <w:rStyle w:val="Hyperlink"/>
          </w:rPr>
          <w:t xml:space="preserve">10.1021/bi00795a022</w:t>
        </w:r>
      </w:hyperlink>
    </w:p>
    <w:bookmarkEnd w:id="101"/>
    <w:bookmarkStart w:id="103"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2">
        <w:r>
          <w:rPr>
            <w:rStyle w:val="Hyperlink"/>
          </w:rPr>
          <w:t xml:space="preserve">10.1083/jcb.58.2.419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7"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6">
        <w:r>
          <w:rPr>
            <w:rStyle w:val="Hyperlink"/>
          </w:rPr>
          <w:t xml:space="preserve">10.1093/plankt/6.1.67</w:t>
        </w:r>
      </w:hyperlink>
    </w:p>
    <w:bookmarkEnd w:id="117"/>
    <w:bookmarkStart w:id="118"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5">
        <w:r>
          <w:rPr>
            <w:rStyle w:val="Hyperlink"/>
          </w:rPr>
          <w:t xml:space="preserve">10.3354/meps052099</w:t>
        </w:r>
      </w:hyperlink>
    </w:p>
    <w:bookmarkEnd w:id="126"/>
    <w:bookmarkStart w:id="128"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7">
        <w:r>
          <w:rPr>
            <w:rStyle w:val="Hyperlink"/>
          </w:rPr>
          <w:t xml:space="preserve">10.1073/pnas.1717069115</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37">
        <w:r>
          <w:rPr>
            <w:rStyle w:val="Hyperlink"/>
          </w:rPr>
          <w:t xml:space="preserve">10.1093/molbev/msx281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50"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49">
        <w:r>
          <w:rPr>
            <w:rStyle w:val="Hyperlink"/>
          </w:rPr>
          <w:t xml:space="preserve">10.1038/nmeth.4285</w:t>
        </w:r>
      </w:hyperlink>
    </w:p>
    <w:bookmarkEnd w:id="150"/>
    <w:bookmarkStart w:id="152"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51">
        <w:r>
          <w:rPr>
            <w:rStyle w:val="Hyperlink"/>
          </w:rPr>
          <w:t xml:space="preserve">10.1093/bib/bbx108</w:t>
        </w:r>
      </w:hyperlink>
    </w:p>
    <w:bookmarkEnd w:id="152"/>
    <w:bookmarkStart w:id="153"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3"/>
    <w:bookmarkStart w:id="155"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4">
        <w:r>
          <w:rPr>
            <w:rStyle w:val="Hyperlink"/>
          </w:rPr>
          <w:t xml:space="preserve">10.1016/j.biortech.2020.123700</w:t>
        </w:r>
      </w:hyperlink>
    </w:p>
    <w:bookmarkEnd w:id="155"/>
    <w:bookmarkStart w:id="15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6">
        <w:r>
          <w:rPr>
            <w:rStyle w:val="Hyperlink"/>
          </w:rPr>
          <w:t xml:space="preserve">10.1016/S0005-2728(98)00135-2</w:t>
        </w:r>
      </w:hyperlink>
    </w:p>
    <w:bookmarkEnd w:id="157"/>
    <w:bookmarkStart w:id="159"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58">
        <w:r>
          <w:rPr>
            <w:rStyle w:val="Hyperlink"/>
          </w:rPr>
          <w:t xml:space="preserve">10.1038/s41598-021-91106-5</w:t>
        </w:r>
      </w:hyperlink>
    </w:p>
    <w:bookmarkEnd w:id="159"/>
    <w:bookmarkStart w:id="161" w:name="X0484b3dfebfaa14160c541e1fe2290095bae149"/>
    <w:p>
      <w:pPr>
        <w:pStyle w:val="Bibliography"/>
      </w:pPr>
      <w:r>
        <w:t xml:space="preserve">LaRoche, J., and B. M. Robicheau. 2022.</w:t>
      </w:r>
      <w:r>
        <w:t xml:space="preserve"> </w:t>
      </w:r>
      <w:hyperlink r:id="rId160">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1"/>
    <w:bookmarkStart w:id="162"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2"/>
    <w:bookmarkStart w:id="164"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3">
        <w:r>
          <w:rPr>
            <w:rStyle w:val="Hyperlink"/>
          </w:rPr>
          <w:t xml:space="preserve">10.1111/jpy.12483</w:t>
        </w:r>
      </w:hyperlink>
    </w:p>
    <w:bookmarkEnd w:id="164"/>
    <w:bookmarkStart w:id="16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5">
        <w:r>
          <w:rPr>
            <w:rStyle w:val="Hyperlink"/>
          </w:rPr>
          <w:t xml:space="preserve">10.1093/plankt/fbv008</w:t>
        </w:r>
      </w:hyperlink>
    </w:p>
    <w:bookmarkEnd w:id="166"/>
    <w:bookmarkStart w:id="168" w:name="X1fa63fd480d0916fa60113cb089a7102c347762"/>
    <w:p>
      <w:pPr>
        <w:pStyle w:val="Bibliography"/>
      </w:pPr>
      <w:r>
        <w:t xml:space="preserve">Li, W. K. W. 1995.</w:t>
      </w:r>
      <w:r>
        <w:t xml:space="preserve"> </w:t>
      </w:r>
      <w:hyperlink r:id="rId16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68"/>
    <w:bookmarkStart w:id="169"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9"/>
    <w:bookmarkStart w:id="171"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0">
        <w:r>
          <w:rPr>
            <w:rStyle w:val="Hyperlink"/>
          </w:rPr>
          <w:t xml:space="preserve">10.1073/pnas.0810891106</w:t>
        </w:r>
      </w:hyperlink>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4">
        <w:r>
          <w:rPr>
            <w:rStyle w:val="Hyperlink"/>
          </w:rPr>
          <w:t xml:space="preserve">10.1016/S1360-1385(99)01504-6</w:t>
        </w:r>
      </w:hyperlink>
    </w:p>
    <w:bookmarkEnd w:id="175"/>
    <w:bookmarkStart w:id="177"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 Models</w:t>
      </w:r>
      <w:r>
        <w:t xml:space="preserve"> </w:t>
      </w:r>
      <w:r>
        <w:t xml:space="preserve">and</w:t>
      </w:r>
      <w:r>
        <w:t xml:space="preserve"> </w:t>
      </w:r>
      <w:r>
        <w:t xml:space="preserve">Efficient Methods</w:t>
      </w:r>
      <w:r>
        <w:t xml:space="preserve"> </w:t>
      </w:r>
      <w:r>
        <w:t xml:space="preserve">for</w:t>
      </w:r>
      <w:r>
        <w:t xml:space="preserve"> </w:t>
      </w:r>
      <w:r>
        <w:t xml:space="preserve">Phylogenetic Inference</w:t>
      </w:r>
      <w:r>
        <w:t xml:space="preserve"> </w:t>
      </w:r>
      <w:r>
        <w:t xml:space="preserve">in the</w:t>
      </w:r>
      <w:r>
        <w:t xml:space="preserve"> </w:t>
      </w:r>
      <w:r>
        <w:t xml:space="preserve">Genomic Era</w:t>
      </w:r>
      <w:r>
        <w:t xml:space="preserve">. Molecular Biology and Evolution</w:t>
      </w:r>
      <w:r>
        <w:t xml:space="preserve"> </w:t>
      </w:r>
      <w:r>
        <w:rPr>
          <w:bCs/>
          <w:b/>
        </w:rPr>
        <w:t xml:space="preserve">37</w:t>
      </w:r>
      <w:r>
        <w:t xml:space="preserve">: 1530–1534. doi:</w:t>
      </w:r>
      <w:hyperlink r:id="rId176">
        <w:r>
          <w:rPr>
            <w:rStyle w:val="Hyperlink"/>
          </w:rPr>
          <w:t xml:space="preserve">10.1093/molbev/msaa015</w:t>
        </w:r>
      </w:hyperlink>
    </w:p>
    <w:bookmarkEnd w:id="177"/>
    <w:bookmarkStart w:id="179"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8">
        <w:r>
          <w:rPr>
            <w:rStyle w:val="Hyperlink"/>
          </w:rPr>
          <w:t xml:space="preserve">10.1093/jxb/erx137</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4">
        <w:r>
          <w:rPr>
            <w:rStyle w:val="Hyperlink"/>
          </w:rPr>
          <w:t xml:space="preserve">10.1007/s11430-017-9206-5</w:t>
        </w:r>
      </w:hyperlink>
    </w:p>
    <w:bookmarkEnd w:id="185"/>
    <w:bookmarkStart w:id="187"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6">
        <w:r>
          <w:rPr>
            <w:rStyle w:val="Hyperlink"/>
          </w:rPr>
          <w:t xml:space="preserve">10.1023/A:1005936823310</w:t>
        </w:r>
      </w:hyperlink>
    </w:p>
    <w:bookmarkEnd w:id="187"/>
    <w:bookmarkStart w:id="189"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8">
        <w:r>
          <w:rPr>
            <w:rStyle w:val="Hyperlink"/>
          </w:rPr>
          <w:t xml:space="preserve">10.4319/lom.2012.10.142</w:t>
        </w:r>
      </w:hyperlink>
    </w:p>
    <w:bookmarkEnd w:id="189"/>
    <w:bookmarkStart w:id="190"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0"/>
    <w:bookmarkStart w:id="192"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1">
        <w:r>
          <w:rPr>
            <w:rStyle w:val="Hyperlink"/>
          </w:rPr>
          <w:t xml:space="preserve">10.4319/lo.1991.36.7.1457</w:t>
        </w:r>
      </w:hyperlink>
    </w:p>
    <w:bookmarkEnd w:id="192"/>
    <w:bookmarkStart w:id="194" w:name="ref-posit"/>
    <w:p>
      <w:pPr>
        <w:pStyle w:val="Bibliography"/>
      </w:pPr>
      <w:r>
        <w:t xml:space="preserve">Posit team. 2022.</w:t>
      </w:r>
      <w:r>
        <w:t xml:space="preserve"> </w:t>
      </w:r>
      <w:hyperlink r:id="rId193">
        <w:r>
          <w:rPr>
            <w:rStyle w:val="Hyperlink"/>
          </w:rPr>
          <w:t xml:space="preserve">RStudio: Integrated development environment for r</w:t>
        </w:r>
      </w:hyperlink>
      <w:r>
        <w:t xml:space="preserve">, Posit Software, PBC.</w:t>
      </w:r>
    </w:p>
    <w:bookmarkEnd w:id="194"/>
    <w:bookmarkStart w:id="196" w:name="ref-rcore"/>
    <w:p>
      <w:pPr>
        <w:pStyle w:val="Bibliography"/>
      </w:pPr>
      <w:r>
        <w:t xml:space="preserve">R Core Team. 2023.</w:t>
      </w:r>
      <w:r>
        <w:t xml:space="preserve"> </w:t>
      </w:r>
      <w:hyperlink r:id="rId195">
        <w:r>
          <w:rPr>
            <w:rStyle w:val="Hyperlink"/>
          </w:rPr>
          <w:t xml:space="preserve">R: A language and environment for statistical computing</w:t>
        </w:r>
      </w:hyperlink>
      <w:r>
        <w:t xml:space="preserve">, R Foundation for Statistical Computing.</w:t>
      </w:r>
    </w:p>
    <w:bookmarkEnd w:id="196"/>
    <w:bookmarkStart w:id="19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7"/>
    <w:bookmarkStart w:id="198" w:name="ref-ryanXtsEXtensibleTime2024"/>
    <w:p>
      <w:pPr>
        <w:pStyle w:val="Bibliography"/>
      </w:pPr>
      <w:r>
        <w:t xml:space="preserve">Ryan, J. A., J. M. Ulrich, R. Bennett, and C. Joy. 2024. Xts:</w:t>
      </w:r>
      <w:r>
        <w:t xml:space="preserve"> </w:t>
      </w:r>
      <w:r>
        <w:t xml:space="preserve">eXtensible Time Series</w:t>
      </w:r>
      <w:r>
        <w:t xml:space="preserve">.</w:t>
      </w:r>
    </w:p>
    <w:bookmarkEnd w:id="198"/>
    <w:bookmarkStart w:id="200"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199">
        <w:r>
          <w:rPr>
            <w:rStyle w:val="Hyperlink"/>
          </w:rPr>
          <w:t xml:space="preserve">10.1104/pp.119.2.785</w:t>
        </w:r>
      </w:hyperlink>
    </w:p>
    <w:bookmarkEnd w:id="200"/>
    <w:bookmarkStart w:id="20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1">
        <w:r>
          <w:rPr>
            <w:rStyle w:val="Hyperlink"/>
          </w:rPr>
          <w:t xml:space="preserve">10.1038/sdata.2017.98</w:t>
        </w:r>
      </w:hyperlink>
    </w:p>
    <w:bookmarkEnd w:id="202"/>
    <w:bookmarkStart w:id="20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3">
        <w:r>
          <w:rPr>
            <w:rStyle w:val="Hyperlink"/>
          </w:rPr>
          <w:t xml:space="preserve">10.1007/s11120-016-0329-8</w:t>
        </w:r>
      </w:hyperlink>
    </w:p>
    <w:bookmarkEnd w:id="204"/>
    <w:bookmarkStart w:id="205" w:name="ref-serwayModernPhysics2004"/>
    <w:p>
      <w:pPr>
        <w:pStyle w:val="Bibliography"/>
      </w:pPr>
      <w:r>
        <w:t xml:space="preserve">Serway, R. A., C. J. Moses, and C. A. Moyer. 2004. Modern</w:t>
      </w:r>
      <w:r>
        <w:t xml:space="preserve"> </w:t>
      </w:r>
      <w:r>
        <w:t xml:space="preserve">Physics</w:t>
      </w:r>
      <w:r>
        <w:t xml:space="preserve">, Cengage Learning.</w:t>
      </w:r>
    </w:p>
    <w:bookmarkEnd w:id="205"/>
    <w:bookmarkStart w:id="20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6">
        <w:r>
          <w:rPr>
            <w:rStyle w:val="Hyperlink"/>
          </w:rPr>
          <w:t xml:space="preserve">10.1371/journal.pone.0001341</w:t>
        </w:r>
      </w:hyperlink>
    </w:p>
    <w:bookmarkEnd w:id="207"/>
    <w:bookmarkStart w:id="20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8">
        <w:r>
          <w:rPr>
            <w:rStyle w:val="Hyperlink"/>
          </w:rPr>
          <w:t xml:space="preserve">10.1073/pnas.2111300118</w:t>
        </w:r>
      </w:hyperlink>
    </w:p>
    <w:bookmarkEnd w:id="209"/>
    <w:bookmarkStart w:id="21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0">
        <w:r>
          <w:rPr>
            <w:rStyle w:val="Hyperlink"/>
          </w:rPr>
          <w:t xml:space="preserve">10.5194/bg-15-6257-2018</w:t>
        </w:r>
      </w:hyperlink>
    </w:p>
    <w:bookmarkEnd w:id="211"/>
    <w:bookmarkStart w:id="21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2">
        <w:r>
          <w:rPr>
            <w:rStyle w:val="Hyperlink"/>
          </w:rPr>
          <w:t xml:space="preserve">10.3390/cells9092030</w:t>
        </w:r>
      </w:hyperlink>
    </w:p>
    <w:bookmarkEnd w:id="213"/>
    <w:bookmarkStart w:id="21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4">
        <w:r>
          <w:rPr>
            <w:rStyle w:val="Hyperlink"/>
          </w:rPr>
          <w:t xml:space="preserve">10.3390/toxins10010048</w:t>
        </w:r>
      </w:hyperlink>
    </w:p>
    <w:bookmarkEnd w:id="215"/>
    <w:bookmarkStart w:id="21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6">
        <w:r>
          <w:rPr>
            <w:rStyle w:val="Hyperlink"/>
          </w:rPr>
          <w:t xml:space="preserve">10.1134/S0026261715020150</w:t>
        </w:r>
      </w:hyperlink>
    </w:p>
    <w:bookmarkEnd w:id="217"/>
    <w:bookmarkStart w:id="21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8">
        <w:r>
          <w:rPr>
            <w:rStyle w:val="Hyperlink"/>
          </w:rPr>
          <w:t xml:space="preserve">DOI: http://dx.doi.org/10.25607/OBP-1791</w:t>
        </w:r>
      </w:hyperlink>
    </w:p>
    <w:bookmarkEnd w:id="219"/>
    <w:bookmarkStart w:id="22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0">
        <w:r>
          <w:rPr>
            <w:rStyle w:val="Hyperlink"/>
          </w:rPr>
          <w:t xml:space="preserve">10.1111/oik.08839</w:t>
        </w:r>
      </w:hyperlink>
    </w:p>
    <w:bookmarkEnd w:id="221"/>
    <w:bookmarkStart w:id="22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2">
        <w:r>
          <w:rPr>
            <w:rStyle w:val="Hyperlink"/>
          </w:rPr>
          <w:t xml:space="preserve">10.1111/j.1365-2427.2008.02119.x</w:t>
        </w:r>
      </w:hyperlink>
    </w:p>
    <w:bookmarkEnd w:id="223"/>
    <w:bookmarkStart w:id="225" w:name="ref-tortellUserGuideApplication2021"/>
    <w:p>
      <w:pPr>
        <w:pStyle w:val="Bibliography"/>
      </w:pPr>
      <w:r>
        <w:t xml:space="preserve">Tortell, P., D. J. Suggett, and S. W. Group156. 2021.</w:t>
      </w:r>
      <w:r>
        <w:t xml:space="preserve"> </w:t>
      </w:r>
      <w:hyperlink r:id="rId22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5"/>
    <w:bookmarkStart w:id="22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6">
        <w:r>
          <w:rPr>
            <w:rStyle w:val="Hyperlink"/>
          </w:rPr>
          <w:t xml:space="preserve">10.1002/biot.201700764</w:t>
        </w:r>
      </w:hyperlink>
    </w:p>
    <w:bookmarkEnd w:id="227"/>
    <w:bookmarkStart w:id="22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8"/>
    <w:bookmarkStart w:id="23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29">
        <w:r>
          <w:rPr>
            <w:rStyle w:val="Hyperlink"/>
          </w:rPr>
          <w:t xml:space="preserve">10.1029/1999JC000308</w:t>
        </w:r>
      </w:hyperlink>
    </w:p>
    <w:bookmarkEnd w:id="230"/>
    <w:bookmarkStart w:id="232" w:name="ref-wickhamDataAnalysis2016"/>
    <w:p>
      <w:pPr>
        <w:pStyle w:val="Bibliography"/>
      </w:pPr>
      <w:r>
        <w:t xml:space="preserve">Wickham, H. 2016.</w:t>
      </w:r>
      <w:r>
        <w:t xml:space="preserve"> </w:t>
      </w:r>
      <w:hyperlink r:id="rId23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2"/>
    <w:bookmarkStart w:id="234"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3">
        <w:r>
          <w:rPr>
            <w:rStyle w:val="Hyperlink"/>
          </w:rPr>
          <w:t xml:space="preserve">10.1002/cyto.a.24508</w:t>
        </w:r>
      </w:hyperlink>
    </w:p>
    <w:bookmarkEnd w:id="234"/>
    <w:bookmarkStart w:id="236" w:name="ref-woodGeneralizedAdditiveModels2017"/>
    <w:p>
      <w:pPr>
        <w:pStyle w:val="Bibliography"/>
      </w:pPr>
      <w:r>
        <w:t xml:space="preserve">Wood, S. N. 2017.</w:t>
      </w:r>
      <w:r>
        <w:t xml:space="preserve"> </w:t>
      </w:r>
      <w:hyperlink r:id="rId235">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36"/>
    <w:bookmarkStart w:id="238"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7">
        <w:r>
          <w:rPr>
            <w:rStyle w:val="Hyperlink"/>
          </w:rPr>
          <w:t xml:space="preserve">10.1016/j.rse.2020.111704</w:t>
        </w:r>
      </w:hyperlink>
    </w:p>
    <w:bookmarkEnd w:id="238"/>
    <w:bookmarkStart w:id="240"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39">
        <w:r>
          <w:rPr>
            <w:rStyle w:val="Hyperlink"/>
          </w:rPr>
          <w:t xml:space="preserve">10.1016/j.bbabio.2017.03.003</w:t>
        </w:r>
      </w:hyperlink>
    </w:p>
    <w:bookmarkEnd w:id="240"/>
    <w:bookmarkStart w:id="242"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1">
        <w:r>
          <w:rPr>
            <w:rStyle w:val="Hyperlink"/>
          </w:rPr>
          <w:t xml:space="preserve">10.3389/fmars.2018.00281</w:t>
        </w:r>
      </w:hyperlink>
    </w:p>
    <w:bookmarkEnd w:id="242"/>
    <w:bookmarkEnd w:id="243"/>
    <w:bookmarkEnd w:id="244"/>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18" Target="DOI: http://dx.doi.org/10.25607/OBP-1791" TargetMode="External" /><Relationship Type="http://schemas.openxmlformats.org/officeDocument/2006/relationships/hyperlink" Id="rId1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3"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0" Target="https://doi.org/10.1007/978-3-030-90383-1_9" TargetMode="External" /><Relationship Type="http://schemas.openxmlformats.org/officeDocument/2006/relationships/hyperlink" Id="rId23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3"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39"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7"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6"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1"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5" Target="https://doi.org/10.1201/9781315370279" TargetMode="External" /><Relationship Type="http://schemas.openxmlformats.org/officeDocument/2006/relationships/hyperlink" Id="rId206"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1"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8"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5"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18" Target="DOI: http://dx.doi.org/10.25607/OBP-1791" TargetMode="External" /><Relationship Type="http://schemas.openxmlformats.org/officeDocument/2006/relationships/hyperlink" Id="rId193"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3"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0" Target="https://doi.org/10.1007/978-3-030-90383-1_9" TargetMode="External" /><Relationship Type="http://schemas.openxmlformats.org/officeDocument/2006/relationships/hyperlink" Id="rId23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3"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39"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7"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6"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1"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5" Target="https://doi.org/10.1201/9781315370279" TargetMode="External" /><Relationship Type="http://schemas.openxmlformats.org/officeDocument/2006/relationships/hyperlink" Id="rId206"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1"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8"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5"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2024-04-29T12:34:18Z</dcterms:created>
  <dcterms:modified xsi:type="dcterms:W3CDTF">2024-04-29T12:34:18Z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